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389bbc36f146a5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44022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ZAVOD ZA PROSTORNO UREĐENJE BJELOVARSKO-BILOGORSKE ŽUPANIJE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21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XII 2025.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233.705,47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366.975,35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157,0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232.938,80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341.774,02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146,7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766,67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25.201,33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3287,1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33.367,46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3208,7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1.039,89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33.367,46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3208,7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273,22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8.166,13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2988,8</w:t>
            </w:r>
          </w:p>
        </w:tc>
      </w:tr>
    </w:tbl>
    <w:p>
      <w:pPr>
        <w:spacing w:before="0" w:after="0"/>
      </w:pPr>
    </w:p>
    <w:p>
      <w:pPr>
        <w:jc w:val="left"/>
      </w:pPr>
      <w:r>
        <w:rPr>
          <w:b/>
        </w:rPr>
        <w:t xml:space="preserve">RKP broj 44022</w:t>
      </w:r>
      <w:r>
        <w:rPr>
          <w:b/>
        </w:rPr>
        <w:br/>
      </w:r>
      <w:r>
        <w:rPr>
          <w:b/>
        </w:rPr>
        <w:t xml:space="preserve">Naziv obveznika ZAVOD ZA PROSTORNO UREĐENJE BJELOVARSKO-BILOGORSKE ŽUPANIJE</w:t>
      </w:r>
      <w:r>
        <w:rPr>
          <w:b/>
        </w:rPr>
        <w:br/>
      </w:r>
      <w:r>
        <w:rPr>
          <w:b/>
        </w:rPr>
        <w:t xml:space="preserve">Razina 21</w:t>
      </w:r>
    </w:p>
    <w:p>
      <w:pPr>
        <w:jc w:val="center"/>
      </w:pPr>
      <w:r>
        <w:rPr>
          <w:b/>
        </w:rPr>
        <w:t xml:space="preserve">BILJEŠKE UZ FINANCIJSKE IZVJEŠTAJE ZA RAZDOBLJE I - XII 2025.</w:t>
      </w:r>
    </w:p>
    <w:p>
      <w:pPr>
        <w:jc w:val="both"/>
      </w:pPr>
      <w:r>
        <w:t xml:space="preserve">Zavod za prostorno uređenje BBŽ u periodu od 01.sječnja do 31.prosinca 2025.godine ostvario je ukupni prihod poslovanja u iznosu 366.975,35 EUR što je za 57,02 % veće u odnosu na prethodnu godinu. Povećanje prihoda najviše se odnosi na pružanje usluga , koje je bilo veće u odnosu na prethodnu godinu zbog povećanog obima posla. Prihodi od nadležnog proračuna također su povećani, što je rezultat povećanja plaća u 2025 godini i zapošljavanje nove djelatnice.</w:t>
      </w:r>
    </w:p>
    <w:p>
      <w:r>
        <w:t xml:space="preserve">U navedenom razdoblju nema prihoda od financijske imovine kao ni rashoda.</w:t>
      </w:r>
    </w:p>
    <w:p>
      <w:r>
        <w:t xml:space="preserve">U navedenom razdoblju nema niti prihoda od prodaje nefinancijske imovine, ali ima rashoda za nabavu nove nefinancijske imovine.</w:t>
      </w:r>
    </w:p>
    <w:p>
      <w:pPr>
        <w:jc w:val="both"/>
      </w:pPr>
      <w:r>
        <w:t xml:space="preserve">Rashodi poslovanja iznose 341.774,02 EUR što je veće u odnosu na prošlu godinu za 46,72 %.Najveće povećanje odnosi se na troškove za zaposlene na troškove plaće , kao i za troškove zakupnine i najamne što se odnosi na licence.</w:t>
      </w:r>
    </w:p>
    <w:p>
      <w:pPr>
        <w:jc w:val="both"/>
      </w:pPr>
      <w:r>
        <w:t xml:space="preserve">U razdoblju od 01.sječnja do 31.prosinca ostvaren je višak prihoda poslovanja u iznosu 25.201,33 EUR i manjak od nefinancijske imovine 33.367,46 EUR te i preneseni manjak iz 2024 u iznosu 273,22 EUR, slijedom čega je na kraju izvještajnog razdoblja manjak u iznosu 8.439,35 EUR za prijenos u sljedeće izvještajno razdoblje.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proizvoda i robe te pruženih usluga, prihodi od donacija te povrati po protestiranim jamstvima (šifre 661+663)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5.000,00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45.400,00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908,0</w:t>
            </w:r>
          </w:p>
        </w:tc>
      </w:tr>
    </w:tbl>
    <w:p>
      <w:pPr>
        <w:spacing w:before="0" w:after="0"/>
      </w:pPr>
    </w:p>
    <w:p>
      <w:r>
        <w:t xml:space="preserve">U 2025.godini realizirani su planovi čija je izrada zapoćeta u 2024. godini i naplaćeni su tako da sudjeluju u povećanju prihoda pruženih usluga u 2025.godini.Dodatno povećanje prihoda od uobičajnoga u 2025. godini uzrokovala je izrada prostornih planova nove generacije koji iziskuju veći obim posla i veći su prihodi od tih poslova.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iz nadležnog proračuna za financiranje rashoda poslovanja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214.380,22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299.892,18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139,9</w:t>
            </w:r>
          </w:p>
        </w:tc>
      </w:tr>
    </w:tbl>
    <w:p>
      <w:pPr>
        <w:spacing w:before="0" w:after="0"/>
      </w:pPr>
    </w:p>
    <w:p>
      <w:r>
        <w:t xml:space="preserve">Povećani su prihodi iz nadležnog proračuna za finaciranje redovne djelatnosti proračunskog korisnika koja su nastala zbog povećanja rashoda za zposlene, tj.povećanje plaća i zpošljavanje jedne djelatnice Zavoda.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Plaće za redovan rad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3111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141.142,61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223.712,63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158,5</w:t>
            </w:r>
          </w:p>
        </w:tc>
      </w:tr>
    </w:tbl>
    <w:p>
      <w:pPr>
        <w:spacing w:before="0" w:after="0"/>
      </w:pPr>
    </w:p>
    <w:p>
      <w:r>
        <w:t xml:space="preserve">Do povećanja rashoda za zaposlene došlo je zbog razloga knjiženja dvanaest plaća tekuće godine i prenos plaće za prosinac 2024. godine prema naputku Pravilnika za proračun. Osim toga u 2025. godini došlo je do povećanja zaposlenih za jednu djelatnicu Zavoda.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Stručno usavršavanje zaposlenika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195,00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724,50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371,5</w:t>
            </w:r>
          </w:p>
        </w:tc>
      </w:tr>
    </w:tbl>
    <w:p>
      <w:pPr>
        <w:spacing w:before="0" w:after="0"/>
      </w:pPr>
    </w:p>
    <w:p>
      <w:r>
        <w:t xml:space="preserve">U 2025. godini imali smo webinar Infomare, stručni skup Dani Orisa i Hrvatska komora arhitekata je organizira stručni seminar. Navedeni troškovi</w:t>
      </w:r>
    </w:p>
    <w:p>
      <w:r>
        <w:t xml:space="preserve">utjecali su na povećanje troškova za stručno usavršavanje.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Intelektualne i osobne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5.852,12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12.700,00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217,0</w:t>
            </w:r>
          </w:p>
        </w:tc>
      </w:tr>
    </w:tbl>
    <w:p>
      <w:pPr>
        <w:spacing w:before="0" w:after="0"/>
      </w:pPr>
    </w:p>
    <w:p>
      <w:r>
        <w:t xml:space="preserve">U 2025. godini pri izradi projekta "Analiza stanja u prostoru rijetko naseljenih prostora u BBŽ" angažiran je profesor za izradu stručne podloge.</w:t>
      </w:r>
    </w:p>
    <w:p>
      <w:r>
        <w:t xml:space="preserve">Taj trošak znatno povećava intelektualne usluge u odnosu na prošlu godinu.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Premije osiguranja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3292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241,56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949,66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393,1</w:t>
            </w:r>
          </w:p>
        </w:tc>
      </w:tr>
    </w:tbl>
    <w:p>
      <w:pPr>
        <w:spacing w:before="0" w:after="0"/>
      </w:pPr>
    </w:p>
    <w:p>
      <w:r>
        <w:t xml:space="preserve">Zbog nabave novog vozila došlo je do povećanja troškova osiguranja za osnovno i kasko osiguranja 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proizvedene dugotrajne imovine (šifre 421+422+423+424+425+426)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32.569,46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3132,0</w:t>
            </w:r>
          </w:p>
        </w:tc>
      </w:tr>
    </w:tbl>
    <w:p>
      <w:pPr>
        <w:spacing w:before="0" w:after="0"/>
      </w:pPr>
    </w:p>
    <w:p>
      <w:r>
        <w:t xml:space="preserve">Povećanje rashoda za nabavu dugotrajne imovine nastao je zbog nabave novog prijevoznog sredstva, zamjene uredskog namještaja i  klima uređaja kao i nabava novog softvera i računala.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1.039,89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9.996,87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961,3</w:t>
            </w:r>
          </w:p>
        </w:tc>
      </w:tr>
    </w:tbl>
    <w:p>
      <w:pPr>
        <w:spacing w:before="0" w:after="0"/>
      </w:pPr>
    </w:p>
    <w:p>
      <w:r>
        <w:t xml:space="preserve">Uredski namještaj je nabavljen zbog dotrajalosti postojeće opreme i povećanog broja djelatnika 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obvezama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Iznos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/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Stanje dospjelih obveza na kraju izvještajnog razdoblja (šifre V008+D23+D24 + 'D dio 25,26' + D27)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V007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U Zavodu za prostorno uređenje BBŽ na dan 31.12.2025. nije bilo dospjelih računa kao ni obaveza.</w:t>
      </w:r>
    </w:p>
    <w:p>
      <w:r>
        <w:t xml:space="preserve">Obaveze se sastoje od obaveze za plaće od prosinca koje su dospjele do 15.01.2026., računa sa datumom 31.12.2025. i valutom plaćanja u 2026. godini</w:t>
      </w:r>
    </w:p>
    <w:p>
      <w:r>
        <w:t xml:space="preserve">kao i za obaveza za tuđe prihode koje su također dosjele u 2026. godini.</w:t>
      </w:r>
    </w:p>
    <w:p/>
  </w:body>
</w:document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fc2c9d0caac4a79" /></Relationships>
</file>